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EDCE6" w14:textId="518CEE6F" w:rsidR="006A337E" w:rsidRPr="006A337E" w:rsidRDefault="006A337E" w:rsidP="006A337E">
      <w:r w:rsidRPr="006A337E">
        <w:rPr>
          <w:b/>
          <w:bCs/>
        </w:rPr>
        <w:t xml:space="preserve">Kuruluş ve Adres Değişikliği Fiziki </w:t>
      </w:r>
      <w:r w:rsidR="00E51A84" w:rsidRPr="006A337E">
        <w:rPr>
          <w:b/>
          <w:bCs/>
        </w:rPr>
        <w:t>Tetkik</w:t>
      </w:r>
      <w:bookmarkStart w:id="0" w:name="_GoBack"/>
      <w:bookmarkEnd w:id="0"/>
      <w:r w:rsidR="00E51A84" w:rsidRPr="006A337E">
        <w:rPr>
          <w:b/>
          <w:bCs/>
        </w:rPr>
        <w:t>te</w:t>
      </w:r>
      <w:r w:rsidRPr="006A337E">
        <w:rPr>
          <w:b/>
          <w:bCs/>
        </w:rPr>
        <w:t xml:space="preserve"> Dikkat Edilmesi Gereken Hususlar</w:t>
      </w:r>
    </w:p>
    <w:p w14:paraId="3CED2AF6" w14:textId="77777777" w:rsidR="006A337E" w:rsidRPr="006A337E" w:rsidRDefault="006A337E" w:rsidP="006A337E">
      <w:r w:rsidRPr="006A337E">
        <w:t>1- Bir sigorta acentesi merkezi veya şubesinin; </w:t>
      </w:r>
    </w:p>
    <w:p w14:paraId="7195FD2D" w14:textId="77777777" w:rsidR="006A337E" w:rsidRPr="006A337E" w:rsidRDefault="006A337E" w:rsidP="006A337E">
      <w:pPr>
        <w:numPr>
          <w:ilvl w:val="0"/>
          <w:numId w:val="1"/>
        </w:numPr>
      </w:pPr>
      <w:r w:rsidRPr="006A337E">
        <w:t>Müstakil bir bina veya iş merkezi içerisinde; fiziki olarak ayrılmış, müstakil bir girişe sahip, başlı başına kullanılmaya elverişli bağımsız bir mekân olması ve bu mekânda münhasıran sigorta acenteliği faaliyeti yürütülüyor olması,</w:t>
      </w:r>
    </w:p>
    <w:p w14:paraId="221E9113" w14:textId="77777777" w:rsidR="006A337E" w:rsidRPr="006A337E" w:rsidRDefault="006A337E" w:rsidP="006A337E">
      <w:pPr>
        <w:numPr>
          <w:ilvl w:val="0"/>
          <w:numId w:val="1"/>
        </w:numPr>
      </w:pPr>
      <w:r w:rsidRPr="006A337E">
        <w:t>Kullandığı elektrik, telefon, su, doğalgaz veya internet bağlantı hizmetine ilişkin faturalarından en az ikisinin sigorta acentesi adına kayıtlı bulunması,</w:t>
      </w:r>
    </w:p>
    <w:p w14:paraId="09B044C5" w14:textId="77777777" w:rsidR="006A337E" w:rsidRPr="006A337E" w:rsidRDefault="006A337E" w:rsidP="006A337E">
      <w:pPr>
        <w:numPr>
          <w:ilvl w:val="0"/>
          <w:numId w:val="1"/>
        </w:numPr>
      </w:pPr>
      <w:r w:rsidRPr="006A337E">
        <w:t>Aynı mekânı paylaşan çoklu acentelerde; internet faturası hariç olmak koşuluyla faturaların mekânı paylaşan acentelerden birinin adına kayıtlı olması yeterlidir.</w:t>
      </w:r>
    </w:p>
    <w:p w14:paraId="4A4AFC41" w14:textId="77777777" w:rsidR="006A337E" w:rsidRPr="006A337E" w:rsidRDefault="006A337E" w:rsidP="006A337E">
      <w:pPr>
        <w:numPr>
          <w:ilvl w:val="0"/>
          <w:numId w:val="1"/>
        </w:numPr>
      </w:pPr>
      <w:r w:rsidRPr="006A337E">
        <w:t>En az bir adet bilgisayar ve yazıcı cihazının bulunuyor olması,</w:t>
      </w:r>
    </w:p>
    <w:p w14:paraId="39BC166A" w14:textId="77777777" w:rsidR="006A337E" w:rsidRPr="006A337E" w:rsidRDefault="006A337E" w:rsidP="006A337E">
      <w:pPr>
        <w:numPr>
          <w:ilvl w:val="0"/>
          <w:numId w:val="1"/>
        </w:numPr>
      </w:pPr>
      <w:r w:rsidRPr="006A337E">
        <w:t>İnternet bağlantısı bulunması ve sigortacılık işlemleri için Statik IP kullanılması zorunludur.</w:t>
      </w:r>
    </w:p>
    <w:p w14:paraId="7FB4C150" w14:textId="77777777" w:rsidR="006A337E" w:rsidRPr="006A337E" w:rsidRDefault="006A337E" w:rsidP="006A337E">
      <w:pPr>
        <w:numPr>
          <w:ilvl w:val="0"/>
          <w:numId w:val="1"/>
        </w:numPr>
      </w:pPr>
      <w:r w:rsidRPr="006A337E">
        <w:t xml:space="preserve">Acentelerin ve şubelerinin </w:t>
      </w:r>
      <w:proofErr w:type="gramStart"/>
      <w:r w:rsidRPr="006A337E">
        <w:t>antet</w:t>
      </w:r>
      <w:proofErr w:type="gramEnd"/>
      <w:r w:rsidRPr="006A337E">
        <w:t xml:space="preserve">, afiş, reklam, tabela ve internet sayfaları ile diğer her türlü elektronik ortamlarında acente </w:t>
      </w:r>
      <w:proofErr w:type="spellStart"/>
      <w:r w:rsidRPr="006A337E">
        <w:t>ünvanına</w:t>
      </w:r>
      <w:proofErr w:type="spellEnd"/>
      <w:r w:rsidRPr="006A337E">
        <w:t xml:space="preserve"> yer verilmesi ve  belirtilen alanlarda “sigorta” ibaresi, yanında “acenteliği” veya “aracılığı” ifadesi kullanılmalı.</w:t>
      </w:r>
    </w:p>
    <w:p w14:paraId="54690DFA" w14:textId="77777777" w:rsidR="006A337E" w:rsidRPr="006A337E" w:rsidRDefault="006A337E" w:rsidP="006A337E">
      <w:pPr>
        <w:numPr>
          <w:ilvl w:val="0"/>
          <w:numId w:val="1"/>
        </w:numPr>
      </w:pPr>
      <w:r w:rsidRPr="006A337E">
        <w:t xml:space="preserve">Acenteler ve şubeleri, sigorta şirketi olduğu veya sigorta acenteliği dışındaki faaliyetler ile acente harici kurum ve kuruluşların iş ve işlemlerini gerçekleştirdiği izlenimini uyandıracak veya gerçeğe aykırı, yanıltıcı, aldatıcı ve haksız rekabete yol açan işletme adı, </w:t>
      </w:r>
      <w:proofErr w:type="gramStart"/>
      <w:r w:rsidRPr="006A337E">
        <w:t>logo</w:t>
      </w:r>
      <w:proofErr w:type="gramEnd"/>
      <w:r w:rsidRPr="006A337E">
        <w:t>, amblem ve diğer ayırt edici kurumsal kimlik unsurlarını kullanamaz.</w:t>
      </w:r>
    </w:p>
    <w:p w14:paraId="5D4A09A8" w14:textId="77777777" w:rsidR="006A337E" w:rsidRPr="006A337E" w:rsidRDefault="006A337E" w:rsidP="006A337E">
      <w:pPr>
        <w:numPr>
          <w:ilvl w:val="0"/>
          <w:numId w:val="1"/>
        </w:numPr>
      </w:pPr>
      <w:r w:rsidRPr="006A337E">
        <w:t xml:space="preserve">Acente </w:t>
      </w:r>
      <w:proofErr w:type="spellStart"/>
      <w:r w:rsidRPr="006A337E">
        <w:t>ünvanı</w:t>
      </w:r>
      <w:proofErr w:type="spellEnd"/>
      <w:r w:rsidRPr="006A337E">
        <w:t xml:space="preserve"> ile Levha kayıt numarasını içeren bir plaka, acentelik faaliyeti gösterilen mekânların girişinde ve gözle görünür şekilde asılır.</w:t>
      </w:r>
    </w:p>
    <w:p w14:paraId="7C616A10" w14:textId="77777777" w:rsidR="006A337E" w:rsidRPr="006A337E" w:rsidRDefault="006A337E" w:rsidP="006A337E">
      <w:r w:rsidRPr="006A337E">
        <w:t xml:space="preserve">2- Kendi bölümleri, personelleri ve statik ip’ </w:t>
      </w:r>
      <w:proofErr w:type="spellStart"/>
      <w:r w:rsidRPr="006A337E">
        <w:t>leri</w:t>
      </w:r>
      <w:proofErr w:type="spellEnd"/>
      <w:r w:rsidRPr="006A337E">
        <w:t xml:space="preserve"> ayrı olmak koşuluyla en fazla üç sigorta acentesi aynı mekânda faaliyet gösterebilir. Ancak, özel proje geliştirilmesi ve İcra Komitesinden onay alınması halinde aynı mekânda faaliyet gösterecek acenteler için sayı sınırı uygulanmaz. </w:t>
      </w:r>
    </w:p>
    <w:p w14:paraId="402EE791" w14:textId="77777777" w:rsidR="006A337E" w:rsidRPr="006A337E" w:rsidRDefault="006A337E" w:rsidP="006A337E">
      <w:r w:rsidRPr="006A337E">
        <w:t xml:space="preserve">3- Sigorta acenteleri,  levhaya kayıtlı sigorta acenteleri dışında ki firmalar ile aynı mekânda bulunamaz ve mekânlar birbirine bağlantılı olamaz (kapı, pencere </w:t>
      </w:r>
      <w:proofErr w:type="spellStart"/>
      <w:r w:rsidRPr="006A337E">
        <w:t>v.b</w:t>
      </w:r>
      <w:proofErr w:type="spellEnd"/>
      <w:r w:rsidRPr="006A337E">
        <w:t>.). </w:t>
      </w:r>
    </w:p>
    <w:p w14:paraId="627673F9" w14:textId="77777777" w:rsidR="006A337E" w:rsidRPr="006A337E" w:rsidRDefault="006A337E" w:rsidP="006A337E">
      <w:r w:rsidRPr="006A337E">
        <w:t>4- Sigorta acentesi şubeleri başka acente ile aynı mekânda faaliyet gösteremez.</w:t>
      </w:r>
    </w:p>
    <w:p w14:paraId="754C108A" w14:textId="77777777" w:rsidR="006A337E" w:rsidRPr="006A337E" w:rsidRDefault="006A337E" w:rsidP="006A337E">
      <w:r w:rsidRPr="006A337E">
        <w:t>5- Sigorta acenteleri tarafından sigorta poliçelerinin düzenlenmesi ve diğer aracılık faaliyetleri için kullanılan tüm bilişim programları asgari fiziki şartlar kapsamında tetkike tabidir.</w:t>
      </w:r>
    </w:p>
    <w:p w14:paraId="02236C5B" w14:textId="379600D6" w:rsidR="006A337E" w:rsidRPr="006A337E" w:rsidRDefault="006A337E" w:rsidP="006A337E">
      <w:r w:rsidRPr="006A337E">
        <w:t xml:space="preserve">6- Sigorta Acenteleri adres değişiklik işlemlerini </w:t>
      </w:r>
      <w:r w:rsidR="00B65FA1">
        <w:t>Bodrum</w:t>
      </w:r>
      <w:r w:rsidRPr="006A337E">
        <w:t xml:space="preserve"> Ticaret Sicil Müdürlüklerinden gerçekleştirdikten sonra, </w:t>
      </w:r>
      <w:r w:rsidR="00B65FA1">
        <w:t>BODTO</w:t>
      </w:r>
      <w:r w:rsidRPr="006A337E">
        <w:t xml:space="preserve"> Sigorta Birimi'ne asgari fiziki şartlar tetkiki için başvuruda bulunmalıdırlar.</w:t>
      </w:r>
    </w:p>
    <w:p w14:paraId="24009A07" w14:textId="77777777" w:rsidR="006A337E" w:rsidRPr="006A337E" w:rsidRDefault="00E51A84" w:rsidP="006A337E">
      <w:r>
        <w:pict w14:anchorId="657DF076">
          <v:rect id="_x0000_i1025" style="width:0;height:1.5pt" o:hralign="center" o:hrstd="t" o:hr="t" fillcolor="#a0a0a0" stroked="f"/>
        </w:pict>
      </w:r>
    </w:p>
    <w:p w14:paraId="4621D683" w14:textId="77777777" w:rsidR="006A337E" w:rsidRPr="006A337E" w:rsidRDefault="006A337E" w:rsidP="006A337E">
      <w:r w:rsidRPr="006A337E">
        <w:rPr>
          <w:b/>
          <w:bCs/>
        </w:rPr>
        <w:t>Kuruluş ve Adres Değişikliği Fiziki Tetkik Başvurusunda İstenilen Evraklar</w:t>
      </w:r>
    </w:p>
    <w:p w14:paraId="1B2F3383" w14:textId="55A54625" w:rsidR="006A337E" w:rsidRPr="006A337E" w:rsidRDefault="006A337E" w:rsidP="006A337E">
      <w:r w:rsidRPr="006A337E">
        <w:t xml:space="preserve">1- </w:t>
      </w:r>
      <w:hyperlink r:id="rId5" w:history="1">
        <w:r w:rsidR="007F4807" w:rsidRPr="00AF0F73">
          <w:rPr>
            <w:rStyle w:val="Kpr"/>
            <w:bCs/>
          </w:rPr>
          <w:t xml:space="preserve">Asgari fiziki şartlar </w:t>
        </w:r>
        <w:r w:rsidR="00B65FA1" w:rsidRPr="00AF0F73">
          <w:rPr>
            <w:rStyle w:val="Kpr"/>
            <w:bCs/>
          </w:rPr>
          <w:t xml:space="preserve">başvuru </w:t>
        </w:r>
        <w:r w:rsidR="007F4807" w:rsidRPr="00AF0F73">
          <w:rPr>
            <w:rStyle w:val="Kpr"/>
            <w:bCs/>
          </w:rPr>
          <w:t>formu</w:t>
        </w:r>
      </w:hyperlink>
    </w:p>
    <w:p w14:paraId="7CD7ECD9" w14:textId="77777777" w:rsidR="006A337E" w:rsidRPr="006A337E" w:rsidRDefault="006A337E" w:rsidP="006A337E">
      <w:r w:rsidRPr="006A337E">
        <w:t>2- Acente adına kayıtlı iki adet fatura veya abonelik sözleşmesi (Aynı mekânı paylaşan çoklu acentelerde faturaların mekânı paylaşan acentelerden birisi adına kayıtlı olması yeterlidir)</w:t>
      </w:r>
    </w:p>
    <w:p w14:paraId="02A62CE2" w14:textId="77777777" w:rsidR="006A337E" w:rsidRPr="006A337E" w:rsidRDefault="006A337E" w:rsidP="006A337E">
      <w:r w:rsidRPr="006A337E">
        <w:t>3- Acente adına kayıtlı statik IP belgesi  (Acente adına kayıtlı olması zorunludur)</w:t>
      </w:r>
    </w:p>
    <w:p w14:paraId="3C148AE1" w14:textId="5047DC65" w:rsidR="006A337E" w:rsidRPr="006A337E" w:rsidRDefault="006A337E" w:rsidP="006A337E">
      <w:r w:rsidRPr="006A337E">
        <w:lastRenderedPageBreak/>
        <w:t xml:space="preserve">4- </w:t>
      </w:r>
      <w:r>
        <w:t xml:space="preserve">Çoklu acenteler için </w:t>
      </w:r>
      <w:proofErr w:type="spellStart"/>
      <w:r>
        <w:t>taahütname</w:t>
      </w:r>
      <w:proofErr w:type="spellEnd"/>
      <w:r w:rsidRPr="006A337E">
        <w:t>(Aynı mekânı paylaşan çoklu acenteler için gereklidir)</w:t>
      </w:r>
    </w:p>
    <w:p w14:paraId="4FF87D9B" w14:textId="77777777" w:rsidR="00F13CB8" w:rsidRDefault="00F13CB8"/>
    <w:sectPr w:rsidR="00F13C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90D7C"/>
    <w:multiLevelType w:val="multilevel"/>
    <w:tmpl w:val="1D2C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2FB"/>
    <w:rsid w:val="00387717"/>
    <w:rsid w:val="003C22E3"/>
    <w:rsid w:val="006A337E"/>
    <w:rsid w:val="007F4807"/>
    <w:rsid w:val="00AF0F73"/>
    <w:rsid w:val="00B65FA1"/>
    <w:rsid w:val="00E51A84"/>
    <w:rsid w:val="00F13CB8"/>
    <w:rsid w:val="00F752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52BA89"/>
  <w15:chartTrackingRefBased/>
  <w15:docId w15:val="{5BE0D669-79A0-4B46-A74A-D633584E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752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752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752F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752F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752F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752F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752F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752F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752F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52F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752F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752F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752F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752F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752F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752F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752F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752FB"/>
    <w:rPr>
      <w:rFonts w:eastAsiaTheme="majorEastAsia" w:cstheme="majorBidi"/>
      <w:color w:val="272727" w:themeColor="text1" w:themeTint="D8"/>
    </w:rPr>
  </w:style>
  <w:style w:type="paragraph" w:styleId="KonuBal">
    <w:name w:val="Title"/>
    <w:basedOn w:val="Normal"/>
    <w:next w:val="Normal"/>
    <w:link w:val="KonuBalChar"/>
    <w:uiPriority w:val="10"/>
    <w:qFormat/>
    <w:rsid w:val="00F75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752F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752F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752F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752F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752FB"/>
    <w:rPr>
      <w:i/>
      <w:iCs/>
      <w:color w:val="404040" w:themeColor="text1" w:themeTint="BF"/>
    </w:rPr>
  </w:style>
  <w:style w:type="paragraph" w:styleId="ListeParagraf">
    <w:name w:val="List Paragraph"/>
    <w:basedOn w:val="Normal"/>
    <w:uiPriority w:val="34"/>
    <w:qFormat/>
    <w:rsid w:val="00F752FB"/>
    <w:pPr>
      <w:ind w:left="720"/>
      <w:contextualSpacing/>
    </w:pPr>
  </w:style>
  <w:style w:type="character" w:styleId="GlVurgulama">
    <w:name w:val="Intense Emphasis"/>
    <w:basedOn w:val="VarsaylanParagrafYazTipi"/>
    <w:uiPriority w:val="21"/>
    <w:qFormat/>
    <w:rsid w:val="00F752FB"/>
    <w:rPr>
      <w:i/>
      <w:iCs/>
      <w:color w:val="2F5496" w:themeColor="accent1" w:themeShade="BF"/>
    </w:rPr>
  </w:style>
  <w:style w:type="paragraph" w:styleId="GlAlnt">
    <w:name w:val="Intense Quote"/>
    <w:basedOn w:val="Normal"/>
    <w:next w:val="Normal"/>
    <w:link w:val="GlAlntChar"/>
    <w:uiPriority w:val="30"/>
    <w:qFormat/>
    <w:rsid w:val="00F752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752FB"/>
    <w:rPr>
      <w:i/>
      <w:iCs/>
      <w:color w:val="2F5496" w:themeColor="accent1" w:themeShade="BF"/>
    </w:rPr>
  </w:style>
  <w:style w:type="character" w:styleId="GlBavuru">
    <w:name w:val="Intense Reference"/>
    <w:basedOn w:val="VarsaylanParagrafYazTipi"/>
    <w:uiPriority w:val="32"/>
    <w:qFormat/>
    <w:rsid w:val="00F752FB"/>
    <w:rPr>
      <w:b/>
      <w:bCs/>
      <w:smallCaps/>
      <w:color w:val="2F5496" w:themeColor="accent1" w:themeShade="BF"/>
      <w:spacing w:val="5"/>
    </w:rPr>
  </w:style>
  <w:style w:type="character" w:styleId="Kpr">
    <w:name w:val="Hyperlink"/>
    <w:basedOn w:val="VarsaylanParagrafYazTipi"/>
    <w:uiPriority w:val="99"/>
    <w:unhideWhenUsed/>
    <w:rsid w:val="006A337E"/>
    <w:rPr>
      <w:color w:val="0563C1" w:themeColor="hyperlink"/>
      <w:u w:val="single"/>
    </w:rPr>
  </w:style>
  <w:style w:type="character" w:customStyle="1" w:styleId="UnresolvedMention">
    <w:name w:val="Unresolved Mention"/>
    <w:basedOn w:val="VarsaylanParagrafYazTipi"/>
    <w:uiPriority w:val="99"/>
    <w:semiHidden/>
    <w:unhideWhenUsed/>
    <w:rsid w:val="006A3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odto.org.tr/images/acente/asgari-fiziki-tetkik-2025.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458</Words>
  <Characters>2613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Tolga Ataş</dc:creator>
  <cp:keywords/>
  <dc:description/>
  <cp:lastModifiedBy>Ece Olcay</cp:lastModifiedBy>
  <cp:revision>4</cp:revision>
  <dcterms:created xsi:type="dcterms:W3CDTF">2025-09-18T06:38:00Z</dcterms:created>
  <dcterms:modified xsi:type="dcterms:W3CDTF">2025-09-18T11:06:00Z</dcterms:modified>
</cp:coreProperties>
</file>